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E80E" w14:textId="77777777" w:rsidR="00F31C19" w:rsidRDefault="0008203B" w:rsidP="00F31C19">
      <w:pPr>
        <w:jc w:val="center"/>
        <w:rPr>
          <w:b/>
          <w:sz w:val="32"/>
          <w:szCs w:val="32"/>
        </w:rPr>
      </w:pPr>
      <w:r w:rsidRPr="00F611C9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F50989A" wp14:editId="61FB3C1C">
            <wp:simplePos x="0" y="0"/>
            <wp:positionH relativeFrom="margin">
              <wp:posOffset>-161925</wp:posOffset>
            </wp:positionH>
            <wp:positionV relativeFrom="paragraph">
              <wp:posOffset>87630</wp:posOffset>
            </wp:positionV>
            <wp:extent cx="853440" cy="875665"/>
            <wp:effectExtent l="0" t="0" r="3810" b="635"/>
            <wp:wrapTight wrapText="bothSides">
              <wp:wrapPolygon edited="0">
                <wp:start x="7232" y="0"/>
                <wp:lineTo x="3375" y="3289"/>
                <wp:lineTo x="0" y="6579"/>
                <wp:lineTo x="0" y="16447"/>
                <wp:lineTo x="5786" y="21146"/>
                <wp:lineTo x="7232" y="21146"/>
                <wp:lineTo x="13982" y="21146"/>
                <wp:lineTo x="15429" y="21146"/>
                <wp:lineTo x="21214" y="16447"/>
                <wp:lineTo x="21214" y="5169"/>
                <wp:lineTo x="15429" y="1410"/>
                <wp:lineTo x="9643" y="0"/>
                <wp:lineTo x="7232" y="0"/>
              </wp:wrapPolygon>
            </wp:wrapTight>
            <wp:docPr id="3" name="Picture 3" descr="http://int.dnr.alaska.gov/shared/images/logos/dnrlogo_medium_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.dnr.alaska.gov/shared/images/logos/dnrlogo_medium_tran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1C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E3DFB26" wp14:editId="2AD8E01C">
            <wp:simplePos x="0" y="0"/>
            <wp:positionH relativeFrom="margin">
              <wp:posOffset>5273040</wp:posOffset>
            </wp:positionH>
            <wp:positionV relativeFrom="paragraph">
              <wp:posOffset>0</wp:posOffset>
            </wp:positionV>
            <wp:extent cx="1074420" cy="853440"/>
            <wp:effectExtent l="0" t="0" r="0" b="3810"/>
            <wp:wrapTight wrapText="bothSides">
              <wp:wrapPolygon edited="0">
                <wp:start x="9191" y="0"/>
                <wp:lineTo x="5362" y="482"/>
                <wp:lineTo x="0" y="4821"/>
                <wp:lineTo x="0" y="16875"/>
                <wp:lineTo x="4979" y="21214"/>
                <wp:lineTo x="6511" y="21214"/>
                <wp:lineTo x="14553" y="21214"/>
                <wp:lineTo x="16085" y="21214"/>
                <wp:lineTo x="21064" y="16875"/>
                <wp:lineTo x="21064" y="0"/>
                <wp:lineTo x="9191" y="0"/>
              </wp:wrapPolygon>
            </wp:wrapTight>
            <wp:docPr id="2" name="Picture 2" descr="A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19" w:rsidRPr="00F31C19">
        <w:rPr>
          <w:b/>
          <w:sz w:val="32"/>
          <w:szCs w:val="32"/>
        </w:rPr>
        <w:t>Frequently Asked Questions</w:t>
      </w:r>
    </w:p>
    <w:p w14:paraId="175B2187" w14:textId="77777777" w:rsidR="00F31C19" w:rsidRPr="00F31C19" w:rsidRDefault="00F31C19" w:rsidP="00F31C19">
      <w:pPr>
        <w:jc w:val="center"/>
        <w:rPr>
          <w:b/>
          <w:sz w:val="16"/>
          <w:szCs w:val="16"/>
        </w:rPr>
      </w:pPr>
    </w:p>
    <w:p w14:paraId="1E21F39D" w14:textId="77777777" w:rsidR="00F611C9" w:rsidRPr="00F611C9" w:rsidRDefault="00F611C9" w:rsidP="00F611C9">
      <w:pPr>
        <w:jc w:val="center"/>
        <w:rPr>
          <w:b/>
          <w:sz w:val="28"/>
          <w:szCs w:val="28"/>
        </w:rPr>
      </w:pPr>
      <w:r w:rsidRPr="00F611C9">
        <w:rPr>
          <w:b/>
          <w:sz w:val="28"/>
          <w:szCs w:val="28"/>
        </w:rPr>
        <w:t>Land and Water Conservation Fund</w:t>
      </w:r>
    </w:p>
    <w:p w14:paraId="178B9106" w14:textId="77777777" w:rsidR="00F31C19" w:rsidRDefault="00F31C19" w:rsidP="00F611C9">
      <w:pPr>
        <w:jc w:val="center"/>
        <w:rPr>
          <w:b/>
          <w:sz w:val="24"/>
          <w:szCs w:val="24"/>
        </w:rPr>
      </w:pPr>
    </w:p>
    <w:p w14:paraId="6047557D" w14:textId="77777777" w:rsidR="00F611C9" w:rsidRPr="00F611C9" w:rsidRDefault="00F611C9" w:rsidP="00F611C9">
      <w:pPr>
        <w:jc w:val="center"/>
        <w:rPr>
          <w:b/>
          <w:sz w:val="24"/>
          <w:szCs w:val="24"/>
        </w:rPr>
      </w:pPr>
      <w:r w:rsidRPr="00F611C9">
        <w:rPr>
          <w:b/>
          <w:sz w:val="24"/>
          <w:szCs w:val="24"/>
        </w:rPr>
        <w:t>State of Alaska</w:t>
      </w:r>
    </w:p>
    <w:p w14:paraId="2BA79319" w14:textId="77777777" w:rsidR="00F611C9" w:rsidRPr="00F611C9" w:rsidRDefault="00F611C9" w:rsidP="00F611C9">
      <w:pPr>
        <w:jc w:val="center"/>
        <w:rPr>
          <w:b/>
          <w:sz w:val="24"/>
          <w:szCs w:val="24"/>
        </w:rPr>
      </w:pPr>
      <w:r w:rsidRPr="00F611C9">
        <w:rPr>
          <w:b/>
          <w:sz w:val="24"/>
          <w:szCs w:val="24"/>
        </w:rPr>
        <w:t>Division of Parks and Outdoor Recreation</w:t>
      </w:r>
    </w:p>
    <w:p w14:paraId="56C2F521" w14:textId="77777777" w:rsidR="00F611C9" w:rsidRDefault="00F611C9" w:rsidP="00F611C9">
      <w:pPr>
        <w:rPr>
          <w:b/>
        </w:rPr>
      </w:pPr>
    </w:p>
    <w:p w14:paraId="1042E508" w14:textId="77777777" w:rsidR="00F611C9" w:rsidRDefault="00F611C9" w:rsidP="00F611C9">
      <w:pPr>
        <w:rPr>
          <w:b/>
        </w:rPr>
      </w:pPr>
    </w:p>
    <w:p w14:paraId="715928EA" w14:textId="77777777" w:rsidR="00F611C9" w:rsidRDefault="00F611C9" w:rsidP="00F611C9">
      <w:r>
        <w:t xml:space="preserve">Answers are intended </w:t>
      </w:r>
      <w:r w:rsidR="005A10B1">
        <w:t>as</w:t>
      </w:r>
      <w:r>
        <w:t xml:space="preserve"> general guidance to applicants. Some information may refer to a specific grant cycle or may change with upcoming </w:t>
      </w:r>
      <w:r w:rsidR="00F31C19">
        <w:t>Land and Water Conservation Fund (LWCF) grant</w:t>
      </w:r>
      <w:r>
        <w:t xml:space="preserve"> cycles. </w:t>
      </w:r>
    </w:p>
    <w:p w14:paraId="04837E04" w14:textId="4B31252B" w:rsidR="00F611C9" w:rsidRDefault="00F611C9" w:rsidP="00F611C9"/>
    <w:p w14:paraId="3A5DB5B9" w14:textId="77777777" w:rsidR="006E1585" w:rsidRDefault="006E1585" w:rsidP="00F611C9"/>
    <w:p w14:paraId="43860D3C" w14:textId="77777777" w:rsidR="004C53C1" w:rsidRPr="002E3185" w:rsidRDefault="004C53C1" w:rsidP="004C53C1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>Who may apply for an LWCF grant?</w:t>
      </w:r>
    </w:p>
    <w:p w14:paraId="08B68FF7" w14:textId="77777777" w:rsidR="00ED1D20" w:rsidRDefault="002E3185" w:rsidP="00ED1D20">
      <w:pPr>
        <w:pStyle w:val="ListParagraph"/>
      </w:pPr>
      <w:r>
        <w:t>Eligible applicants include state, local, and regiona</w:t>
      </w:r>
      <w:r w:rsidR="0008203B">
        <w:t>l entities (city, borough</w:t>
      </w:r>
      <w:r>
        <w:t xml:space="preserve">, state and tribal governments) </w:t>
      </w:r>
      <w:r w:rsidR="0008203B">
        <w:t>that</w:t>
      </w:r>
      <w:r>
        <w:t xml:space="preserve"> have legal authority for public parks and</w:t>
      </w:r>
      <w:r w:rsidR="00447266">
        <w:t xml:space="preserve"> outdoor</w:t>
      </w:r>
      <w:r>
        <w:t xml:space="preserve"> recreation facilities. </w:t>
      </w:r>
      <w:r w:rsidR="0008203B">
        <w:t xml:space="preserve"> Applicants must demonstrate control and tenure over the site and facility which will receive grant funding.</w:t>
      </w:r>
    </w:p>
    <w:p w14:paraId="5EBDB00D" w14:textId="77777777" w:rsidR="002E3185" w:rsidRDefault="002E3185" w:rsidP="00ED1D20">
      <w:pPr>
        <w:pStyle w:val="ListParagraph"/>
      </w:pPr>
    </w:p>
    <w:p w14:paraId="2E17BAD7" w14:textId="77777777" w:rsidR="00F611C9" w:rsidRDefault="00F611C9" w:rsidP="00F611C9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 xml:space="preserve">What types of </w:t>
      </w:r>
      <w:r w:rsidR="0008203B">
        <w:rPr>
          <w:b/>
        </w:rPr>
        <w:t xml:space="preserve">public outdoor recreation </w:t>
      </w:r>
      <w:r w:rsidRPr="002E3185">
        <w:rPr>
          <w:b/>
        </w:rPr>
        <w:t>projects are eligible for LWCF grants?</w:t>
      </w:r>
      <w:r w:rsidR="002E3185">
        <w:rPr>
          <w:b/>
        </w:rPr>
        <w:t xml:space="preserve"> </w:t>
      </w:r>
    </w:p>
    <w:p w14:paraId="5F6794F5" w14:textId="0E0E4431" w:rsidR="002E3185" w:rsidRPr="00947486" w:rsidRDefault="002A776B" w:rsidP="002A776B">
      <w:pPr>
        <w:ind w:left="720"/>
        <w:rPr>
          <w:color w:val="FF0000"/>
        </w:rPr>
      </w:pPr>
      <w:r>
        <w:t xml:space="preserve">Eligible project types are </w:t>
      </w:r>
      <w:r w:rsidR="005A10B1">
        <w:t xml:space="preserve">addressed </w:t>
      </w:r>
      <w:r>
        <w:t>in</w:t>
      </w:r>
      <w:r w:rsidR="00DB429A">
        <w:t xml:space="preserve"> the Statewide Comprehensive Outdo</w:t>
      </w:r>
      <w:r>
        <w:t>or Recreation Plan (SCORP)</w:t>
      </w:r>
      <w:r w:rsidR="009A7C02">
        <w:t xml:space="preserve"> 2023-2027. Please refer to the region where your proposed project would occur. </w:t>
      </w:r>
      <w:r w:rsidR="009A7C02" w:rsidRPr="00AC5134">
        <w:t xml:space="preserve">See </w:t>
      </w:r>
      <w:r w:rsidR="00AC5134" w:rsidRPr="00AC5134">
        <w:t>attachment labeled</w:t>
      </w:r>
      <w:r w:rsidR="00AC5134">
        <w:t>:</w:t>
      </w:r>
      <w:r w:rsidR="009A7C02" w:rsidRPr="00AC5134">
        <w:t xml:space="preserve"> </w:t>
      </w:r>
      <w:r w:rsidR="00AC5134" w:rsidRPr="00AC5134">
        <w:rPr>
          <w:i/>
          <w:iCs/>
        </w:rPr>
        <w:t>Regional Needs Prioritized.</w:t>
      </w:r>
    </w:p>
    <w:p w14:paraId="23CA6674" w14:textId="77777777" w:rsidR="002E3185" w:rsidRPr="002E3185" w:rsidRDefault="002E3185" w:rsidP="002E3185">
      <w:pPr>
        <w:rPr>
          <w:b/>
        </w:rPr>
      </w:pPr>
    </w:p>
    <w:p w14:paraId="26C935C0" w14:textId="77777777" w:rsidR="00DB429A" w:rsidRDefault="00A058BF" w:rsidP="002E3185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>How much funding is available?</w:t>
      </w:r>
    </w:p>
    <w:p w14:paraId="101FD6C7" w14:textId="5DF73FCD" w:rsidR="002E3185" w:rsidRPr="00DB429A" w:rsidRDefault="00DB429A" w:rsidP="00DB429A">
      <w:pPr>
        <w:pStyle w:val="ListParagraph"/>
      </w:pPr>
      <w:r w:rsidRPr="00DB429A">
        <w:t xml:space="preserve">Approximately </w:t>
      </w:r>
      <w:r w:rsidRPr="00B560A8">
        <w:t>$</w:t>
      </w:r>
      <w:r w:rsidR="0008203B">
        <w:t>1,</w:t>
      </w:r>
      <w:r w:rsidR="00AC5134">
        <w:t>0</w:t>
      </w:r>
      <w:r w:rsidR="00B560A8">
        <w:t xml:space="preserve">00,000 </w:t>
      </w:r>
      <w:r w:rsidRPr="00DB429A">
        <w:t xml:space="preserve">is available </w:t>
      </w:r>
      <w:r>
        <w:t xml:space="preserve">for award </w:t>
      </w:r>
      <w:r w:rsidR="00AC5134">
        <w:t xml:space="preserve">to local sponsors </w:t>
      </w:r>
      <w:r w:rsidR="0008203B">
        <w:t>during</w:t>
      </w:r>
      <w:r w:rsidR="00B560A8">
        <w:t xml:space="preserve"> this grant cycle</w:t>
      </w:r>
      <w:r>
        <w:t xml:space="preserve">. </w:t>
      </w:r>
      <w:r w:rsidR="00B560A8">
        <w:t>Typically, h</w:t>
      </w:r>
      <w:r>
        <w:t xml:space="preserve">alf </w:t>
      </w:r>
      <w:r w:rsidR="002A776B">
        <w:t xml:space="preserve">is designated for </w:t>
      </w:r>
      <w:r>
        <w:t xml:space="preserve">eligible local projects, and the other half </w:t>
      </w:r>
      <w:r w:rsidR="002A776B">
        <w:t>for</w:t>
      </w:r>
      <w:r>
        <w:t xml:space="preserve"> state projects.</w:t>
      </w:r>
      <w:r w:rsidR="002A776B">
        <w:t xml:space="preserve">  If </w:t>
      </w:r>
      <w:r>
        <w:t>state project requests are insufficient, remaining funds may be used for additional local projec</w:t>
      </w:r>
      <w:r w:rsidR="0008203B">
        <w:t>ts and vice versa.</w:t>
      </w:r>
      <w:r w:rsidR="002E3185" w:rsidRPr="00DB429A">
        <w:br/>
      </w:r>
    </w:p>
    <w:p w14:paraId="307F4378" w14:textId="2E4A00FF" w:rsidR="00B560A8" w:rsidRPr="00713213" w:rsidRDefault="00B560A8" w:rsidP="00B560A8">
      <w:pPr>
        <w:pStyle w:val="ListParagraph"/>
        <w:numPr>
          <w:ilvl w:val="0"/>
          <w:numId w:val="1"/>
        </w:numPr>
        <w:rPr>
          <w:rFonts w:asciiTheme="majorHAnsi" w:hAnsiTheme="majorHAnsi" w:cs="Arial"/>
          <w:u w:val="single"/>
        </w:rPr>
      </w:pPr>
      <w:r w:rsidRPr="00F31C19">
        <w:rPr>
          <w:b/>
        </w:rPr>
        <w:t>When are applications due?</w:t>
      </w:r>
      <w:r w:rsidRPr="00F31C19">
        <w:rPr>
          <w:b/>
        </w:rPr>
        <w:br/>
      </w:r>
      <w:r>
        <w:rPr>
          <w:rFonts w:cs="Arial"/>
        </w:rPr>
        <w:t>B</w:t>
      </w:r>
      <w:r w:rsidRPr="00F31C19">
        <w:rPr>
          <w:rFonts w:cs="Arial"/>
        </w:rPr>
        <w:t xml:space="preserve">y </w:t>
      </w:r>
      <w:r w:rsidR="00AC5134">
        <w:rPr>
          <w:rFonts w:cs="Arial"/>
          <w:color w:val="FF0000"/>
          <w:u w:val="single"/>
        </w:rPr>
        <w:t>12:00 Noon</w:t>
      </w:r>
      <w:r w:rsidR="005A10B1">
        <w:rPr>
          <w:rFonts w:cs="Arial"/>
          <w:color w:val="FF0000"/>
          <w:u w:val="single"/>
        </w:rPr>
        <w:t xml:space="preserve"> on </w:t>
      </w:r>
      <w:r w:rsidR="00AC5134">
        <w:rPr>
          <w:rFonts w:cs="Arial"/>
          <w:color w:val="FF0000"/>
          <w:u w:val="single"/>
        </w:rPr>
        <w:t>Tues</w:t>
      </w:r>
      <w:r w:rsidRPr="00832B74">
        <w:rPr>
          <w:rFonts w:cs="Arial"/>
          <w:color w:val="FF0000"/>
          <w:u w:val="single"/>
        </w:rPr>
        <w:t>day,</w:t>
      </w:r>
      <w:r w:rsidR="005A10B1">
        <w:rPr>
          <w:rFonts w:cs="Arial"/>
          <w:color w:val="FF0000"/>
          <w:u w:val="single"/>
        </w:rPr>
        <w:t xml:space="preserve"> </w:t>
      </w:r>
      <w:r w:rsidR="00AC5134">
        <w:rPr>
          <w:rFonts w:cs="Arial"/>
          <w:color w:val="FF0000"/>
          <w:u w:val="single"/>
        </w:rPr>
        <w:t>October 31</w:t>
      </w:r>
      <w:r w:rsidRPr="00832B74">
        <w:rPr>
          <w:rFonts w:cs="Arial"/>
          <w:color w:val="FF0000"/>
          <w:u w:val="single"/>
        </w:rPr>
        <w:t xml:space="preserve">, </w:t>
      </w:r>
      <w:proofErr w:type="gramStart"/>
      <w:r w:rsidRPr="00832B74">
        <w:rPr>
          <w:rFonts w:cs="Arial"/>
          <w:color w:val="FF0000"/>
          <w:u w:val="single"/>
        </w:rPr>
        <w:t>20</w:t>
      </w:r>
      <w:r w:rsidR="00A14263">
        <w:rPr>
          <w:rFonts w:cs="Arial"/>
          <w:color w:val="FF0000"/>
          <w:u w:val="single"/>
        </w:rPr>
        <w:t>2</w:t>
      </w:r>
      <w:r w:rsidR="00AC5134">
        <w:rPr>
          <w:rFonts w:cs="Arial"/>
          <w:color w:val="FF0000"/>
          <w:u w:val="single"/>
        </w:rPr>
        <w:t>3</w:t>
      </w:r>
      <w:proofErr w:type="gramEnd"/>
      <w:r w:rsidRPr="00832B74">
        <w:rPr>
          <w:rFonts w:cs="Arial"/>
          <w:color w:val="FF0000"/>
        </w:rPr>
        <w:t xml:space="preserve"> </w:t>
      </w:r>
      <w:r w:rsidR="00AC5134">
        <w:rPr>
          <w:rFonts w:cs="Arial"/>
        </w:rPr>
        <w:t xml:space="preserve">transmit </w:t>
      </w:r>
      <w:r w:rsidRPr="00F31C19">
        <w:rPr>
          <w:rFonts w:cs="Arial"/>
        </w:rPr>
        <w:t>one electronic copy of the application and all required attachments</w:t>
      </w:r>
      <w:r w:rsidR="00AC5134">
        <w:rPr>
          <w:rFonts w:cs="Arial"/>
        </w:rPr>
        <w:t>, following the standard naming convention for each file</w:t>
      </w:r>
      <w:r w:rsidRPr="00F31C19">
        <w:rPr>
          <w:rFonts w:cs="Arial"/>
        </w:rPr>
        <w:t xml:space="preserve">. </w:t>
      </w:r>
      <w:r w:rsidR="00AC5134">
        <w:rPr>
          <w:rFonts w:cs="Arial"/>
        </w:rPr>
        <w:t xml:space="preserve">You may also </w:t>
      </w:r>
      <w:r w:rsidR="00280559">
        <w:rPr>
          <w:rFonts w:cs="Arial"/>
        </w:rPr>
        <w:t>post</w:t>
      </w:r>
      <w:r w:rsidR="00AC5134">
        <w:rPr>
          <w:rFonts w:cs="Arial"/>
        </w:rPr>
        <w:t xml:space="preserve"> or deliver a hard copy to the Division of Parks &amp; Outdoor Recreation. </w:t>
      </w:r>
      <w:r w:rsidRPr="00F31C19">
        <w:rPr>
          <w:rFonts w:cs="Arial"/>
        </w:rPr>
        <w:t>Incompl</w:t>
      </w:r>
      <w:r w:rsidR="009310EE">
        <w:rPr>
          <w:rFonts w:cs="Arial"/>
        </w:rPr>
        <w:t xml:space="preserve">ete applications or those </w:t>
      </w:r>
      <w:r w:rsidR="00AC5134">
        <w:rPr>
          <w:rFonts w:cs="Arial"/>
        </w:rPr>
        <w:t>transmitted/posted</w:t>
      </w:r>
      <w:r w:rsidRPr="00F31C19">
        <w:rPr>
          <w:rFonts w:cs="Arial"/>
        </w:rPr>
        <w:t xml:space="preserve"> after the deadline will not be considered. </w:t>
      </w:r>
    </w:p>
    <w:p w14:paraId="40159B44" w14:textId="77777777" w:rsidR="00713213" w:rsidRPr="00713213" w:rsidRDefault="00713213" w:rsidP="00713213">
      <w:pPr>
        <w:pStyle w:val="ListParagraph"/>
        <w:rPr>
          <w:rFonts w:asciiTheme="majorHAnsi" w:hAnsiTheme="majorHAnsi" w:cs="Arial"/>
          <w:u w:val="single"/>
        </w:rPr>
      </w:pPr>
    </w:p>
    <w:p w14:paraId="60E71D78" w14:textId="3BA02C14" w:rsidR="00713213" w:rsidRPr="00280559" w:rsidRDefault="00713213" w:rsidP="00B560A8">
      <w:pPr>
        <w:pStyle w:val="ListParagraph"/>
        <w:numPr>
          <w:ilvl w:val="0"/>
          <w:numId w:val="1"/>
        </w:numPr>
        <w:rPr>
          <w:rFonts w:asciiTheme="majorHAnsi" w:hAnsiTheme="majorHAnsi" w:cs="Arial"/>
          <w:u w:val="single"/>
        </w:rPr>
      </w:pPr>
      <w:r>
        <w:rPr>
          <w:b/>
        </w:rPr>
        <w:t>What is the standard naming convention?</w:t>
      </w:r>
      <w:r w:rsidR="00280559">
        <w:rPr>
          <w:b/>
        </w:rPr>
        <w:br/>
      </w:r>
      <w:r w:rsidR="00280559" w:rsidRPr="00280559">
        <w:rPr>
          <w:rFonts w:asciiTheme="majorHAnsi" w:hAnsiTheme="majorHAnsi" w:cs="Arial"/>
        </w:rPr>
        <w:t xml:space="preserve">Follow a standard naming convention for each file such as “Project </w:t>
      </w:r>
      <w:proofErr w:type="spellStart"/>
      <w:r w:rsidR="00280559" w:rsidRPr="00280559">
        <w:rPr>
          <w:rFonts w:asciiTheme="majorHAnsi" w:hAnsiTheme="majorHAnsi" w:cs="Arial"/>
        </w:rPr>
        <w:t>Name_Item_Description</w:t>
      </w:r>
      <w:proofErr w:type="spellEnd"/>
      <w:r w:rsidR="00280559" w:rsidRPr="00280559">
        <w:rPr>
          <w:rFonts w:asciiTheme="majorHAnsi" w:hAnsiTheme="majorHAnsi" w:cs="Arial"/>
        </w:rPr>
        <w:t xml:space="preserve">.” </w:t>
      </w:r>
      <w:r w:rsidR="00280559" w:rsidRPr="00280559">
        <w:rPr>
          <w:rFonts w:asciiTheme="majorHAnsi" w:hAnsiTheme="majorHAnsi" w:cs="Arial"/>
        </w:rPr>
        <w:br/>
        <w:t xml:space="preserve">For example, </w:t>
      </w:r>
      <w:r w:rsidR="00280559" w:rsidRPr="00280559">
        <w:rPr>
          <w:rFonts w:asciiTheme="majorHAnsi" w:hAnsiTheme="majorHAnsi" w:cs="Arial"/>
          <w:i/>
          <w:iCs/>
        </w:rPr>
        <w:t xml:space="preserve">King Krab </w:t>
      </w:r>
      <w:proofErr w:type="spellStart"/>
      <w:r w:rsidR="00280559" w:rsidRPr="00280559">
        <w:rPr>
          <w:rFonts w:asciiTheme="majorHAnsi" w:hAnsiTheme="majorHAnsi" w:cs="Arial"/>
          <w:i/>
          <w:iCs/>
        </w:rPr>
        <w:t>Cannery_Budget</w:t>
      </w:r>
      <w:proofErr w:type="spellEnd"/>
      <w:r w:rsidR="00280559" w:rsidRPr="00280559">
        <w:rPr>
          <w:rFonts w:asciiTheme="majorHAnsi" w:hAnsiTheme="majorHAnsi" w:cs="Arial"/>
          <w:i/>
          <w:iCs/>
        </w:rPr>
        <w:t xml:space="preserve"> </w:t>
      </w:r>
      <w:proofErr w:type="gramStart"/>
      <w:r w:rsidR="00280559" w:rsidRPr="00280559">
        <w:rPr>
          <w:rFonts w:asciiTheme="majorHAnsi" w:hAnsiTheme="majorHAnsi" w:cs="Arial"/>
          <w:i/>
          <w:iCs/>
        </w:rPr>
        <w:t>Narrative</w:t>
      </w:r>
      <w:r w:rsidR="00280559" w:rsidRPr="00280559">
        <w:rPr>
          <w:rFonts w:asciiTheme="majorHAnsi" w:hAnsiTheme="majorHAnsi" w:cs="Arial"/>
        </w:rPr>
        <w:t xml:space="preserve">  or</w:t>
      </w:r>
      <w:proofErr w:type="gramEnd"/>
      <w:r w:rsidR="00280559" w:rsidRPr="00280559">
        <w:rPr>
          <w:rFonts w:asciiTheme="majorHAnsi" w:hAnsiTheme="majorHAnsi" w:cs="Arial"/>
        </w:rPr>
        <w:t xml:space="preserve">  </w:t>
      </w:r>
      <w:r w:rsidR="00280559" w:rsidRPr="00280559">
        <w:rPr>
          <w:rFonts w:asciiTheme="majorHAnsi" w:hAnsiTheme="majorHAnsi" w:cs="Arial"/>
          <w:i/>
          <w:iCs/>
        </w:rPr>
        <w:t>King Krab Cannery_</w:t>
      </w:r>
      <w:r w:rsidR="00280559" w:rsidRPr="00280559">
        <w:rPr>
          <w:rFonts w:asciiTheme="majorHAnsi" w:hAnsiTheme="majorHAnsi" w:cs="Arial"/>
          <w:i/>
          <w:iCs/>
          <w:color w:val="000000"/>
          <w:shd w:val="clear" w:color="auto" w:fill="FFFFFF"/>
        </w:rPr>
        <w:t xml:space="preserve"> SHPO Section 106 Response</w:t>
      </w:r>
    </w:p>
    <w:p w14:paraId="1D4C2EC2" w14:textId="77777777" w:rsidR="00B560A8" w:rsidRPr="00F31C19" w:rsidRDefault="00B560A8" w:rsidP="00B560A8">
      <w:pPr>
        <w:pStyle w:val="ListParagraph"/>
        <w:rPr>
          <w:rFonts w:asciiTheme="majorHAnsi" w:hAnsiTheme="majorHAnsi" w:cs="Arial"/>
          <w:u w:val="single"/>
        </w:rPr>
      </w:pPr>
    </w:p>
    <w:p w14:paraId="0EAA8BFE" w14:textId="77777777" w:rsidR="00430776" w:rsidRDefault="00430776" w:rsidP="00F611C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Are we allowed to request funding for more than one project?  </w:t>
      </w:r>
    </w:p>
    <w:p w14:paraId="3FC935A3" w14:textId="317A6C84" w:rsidR="00430776" w:rsidRPr="00430776" w:rsidRDefault="00430776" w:rsidP="00430776">
      <w:pPr>
        <w:ind w:left="720"/>
      </w:pPr>
      <w:r w:rsidRPr="00430776">
        <w:t>Normally we advise communities to select one project and put that forward</w:t>
      </w:r>
      <w:r>
        <w:t xml:space="preserve">. However, </w:t>
      </w:r>
      <w:r w:rsidRPr="00430776">
        <w:t>a community may put forward more than one, and stat</w:t>
      </w:r>
      <w:r w:rsidR="00FF7858">
        <w:t xml:space="preserve">e their priority. Each project would need a separate application package, and each </w:t>
      </w:r>
      <w:r w:rsidRPr="00430776">
        <w:t xml:space="preserve">would compete independently against any other proposals we receive.  </w:t>
      </w:r>
    </w:p>
    <w:p w14:paraId="251B880E" w14:textId="77777777" w:rsidR="00430776" w:rsidRPr="00430776" w:rsidRDefault="00430776" w:rsidP="00430776">
      <w:pPr>
        <w:pStyle w:val="ListParagraph"/>
        <w:rPr>
          <w:b/>
        </w:rPr>
      </w:pPr>
    </w:p>
    <w:p w14:paraId="2C3F52C2" w14:textId="1CDF08DE" w:rsidR="00A058BF" w:rsidRDefault="00A058BF" w:rsidP="00F611C9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>What are the minimum and maximum grant awards</w:t>
      </w:r>
      <w:r w:rsidR="009D5154">
        <w:rPr>
          <w:b/>
        </w:rPr>
        <w:t xml:space="preserve"> for these </w:t>
      </w:r>
      <w:r w:rsidR="00AC5134">
        <w:rPr>
          <w:b/>
        </w:rPr>
        <w:t>1:1</w:t>
      </w:r>
      <w:r w:rsidR="009D5154">
        <w:rPr>
          <w:b/>
        </w:rPr>
        <w:t xml:space="preserve"> matching </w:t>
      </w:r>
      <w:proofErr w:type="gramStart"/>
      <w:r w:rsidR="009D5154">
        <w:rPr>
          <w:b/>
        </w:rPr>
        <w:t>grants</w:t>
      </w:r>
      <w:proofErr w:type="gramEnd"/>
      <w:r w:rsidRPr="002E3185">
        <w:rPr>
          <w:b/>
        </w:rPr>
        <w:t xml:space="preserve">? </w:t>
      </w:r>
    </w:p>
    <w:p w14:paraId="1456B5DE" w14:textId="5905311B" w:rsidR="002E3185" w:rsidRDefault="002E3185" w:rsidP="002E3185">
      <w:pPr>
        <w:ind w:left="720"/>
        <w:rPr>
          <w:b/>
        </w:rPr>
      </w:pPr>
      <w:r w:rsidRPr="009D5154">
        <w:t xml:space="preserve">The minimum award for </w:t>
      </w:r>
      <w:r w:rsidR="00B560A8">
        <w:t xml:space="preserve">local projects in </w:t>
      </w:r>
      <w:r w:rsidRPr="009D5154">
        <w:t xml:space="preserve">this grant cycle </w:t>
      </w:r>
      <w:r w:rsidRPr="006E1585">
        <w:t>is $25,000</w:t>
      </w:r>
      <w:r w:rsidR="009D5154" w:rsidRPr="006E1585">
        <w:t xml:space="preserve"> (project at least $50,000)</w:t>
      </w:r>
      <w:r w:rsidRPr="006E1585">
        <w:t xml:space="preserve">.  The maximum </w:t>
      </w:r>
      <w:r w:rsidR="009D5154" w:rsidRPr="006E1585">
        <w:t xml:space="preserve">award </w:t>
      </w:r>
      <w:r w:rsidRPr="006E1585">
        <w:t xml:space="preserve">is </w:t>
      </w:r>
      <w:r w:rsidR="009310EE" w:rsidRPr="006E1585">
        <w:t>$</w:t>
      </w:r>
      <w:r w:rsidR="00AC5134" w:rsidRPr="006E1585">
        <w:t>125</w:t>
      </w:r>
      <w:r w:rsidR="009D5154" w:rsidRPr="006E1585">
        <w:t>,000</w:t>
      </w:r>
      <w:r w:rsidR="009310EE" w:rsidRPr="006E1585">
        <w:t xml:space="preserve"> (project at least $</w:t>
      </w:r>
      <w:r w:rsidR="00AC5134" w:rsidRPr="006E1585">
        <w:t>250</w:t>
      </w:r>
      <w:r w:rsidR="009D5154" w:rsidRPr="006E1585">
        <w:t>,0</w:t>
      </w:r>
      <w:r w:rsidR="009310EE" w:rsidRPr="006E1585">
        <w:t>0</w:t>
      </w:r>
      <w:r w:rsidR="009D5154" w:rsidRPr="006E1585">
        <w:t>0).</w:t>
      </w:r>
      <w:r w:rsidR="009D5154">
        <w:t xml:space="preserve"> </w:t>
      </w:r>
    </w:p>
    <w:p w14:paraId="5D8BD3DF" w14:textId="77777777" w:rsidR="009D5154" w:rsidRPr="002E3185" w:rsidRDefault="009D5154" w:rsidP="002E3185">
      <w:pPr>
        <w:ind w:left="720"/>
        <w:rPr>
          <w:b/>
        </w:rPr>
      </w:pPr>
    </w:p>
    <w:p w14:paraId="584C0420" w14:textId="77777777" w:rsidR="003A0B47" w:rsidRDefault="003A0B47" w:rsidP="003A0B47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 xml:space="preserve">How many grants will be awarded? </w:t>
      </w:r>
    </w:p>
    <w:p w14:paraId="774731F6" w14:textId="1C89FDEB" w:rsidR="003A0B47" w:rsidRDefault="003A0B47" w:rsidP="003A0B47">
      <w:pPr>
        <w:pStyle w:val="ListParagraph"/>
      </w:pPr>
      <w:r>
        <w:t xml:space="preserve">It depends on </w:t>
      </w:r>
      <w:r w:rsidR="00AC5134">
        <w:t>the number of</w:t>
      </w:r>
      <w:r>
        <w:t xml:space="preserve"> applications received for eligible projects, as well as the amounts requested for each.  In the past, as many as a dozen have been awarded statewide.  </w:t>
      </w:r>
    </w:p>
    <w:p w14:paraId="0154B19E" w14:textId="77777777" w:rsidR="003A0B47" w:rsidRDefault="003A0B47" w:rsidP="003A0B47">
      <w:pPr>
        <w:pStyle w:val="ListParagraph"/>
      </w:pPr>
    </w:p>
    <w:p w14:paraId="099BDB83" w14:textId="77777777" w:rsidR="006E1585" w:rsidRDefault="006E1585" w:rsidP="003A0B47">
      <w:pPr>
        <w:pStyle w:val="ListParagraph"/>
      </w:pPr>
    </w:p>
    <w:p w14:paraId="292EA8A2" w14:textId="77777777" w:rsidR="00A058BF" w:rsidRDefault="00A058BF" w:rsidP="00F611C9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 xml:space="preserve">How much match is required? </w:t>
      </w:r>
    </w:p>
    <w:p w14:paraId="7E080519" w14:textId="4160A01D" w:rsidR="00E3681B" w:rsidRDefault="00271D55" w:rsidP="0008203B">
      <w:pPr>
        <w:ind w:left="720"/>
      </w:pPr>
      <w:r>
        <w:t>LWCF</w:t>
      </w:r>
      <w:r w:rsidR="00E3681B" w:rsidRPr="00E3681B">
        <w:t xml:space="preserve"> </w:t>
      </w:r>
      <w:r w:rsidR="00E3681B">
        <w:t xml:space="preserve">is a </w:t>
      </w:r>
      <w:r w:rsidR="00AC5134">
        <w:t>1:1</w:t>
      </w:r>
      <w:r w:rsidR="00E3681B" w:rsidRPr="00E3681B">
        <w:t xml:space="preserve"> match</w:t>
      </w:r>
      <w:r w:rsidR="00E3681B">
        <w:t xml:space="preserve">ing </w:t>
      </w:r>
      <w:r>
        <w:t>and reimbursable</w:t>
      </w:r>
      <w:r w:rsidR="00E3681B">
        <w:t xml:space="preserve"> </w:t>
      </w:r>
      <w:r w:rsidR="00AC5134">
        <w:t xml:space="preserve">grant </w:t>
      </w:r>
      <w:r w:rsidR="00E3681B">
        <w:t>program</w:t>
      </w:r>
      <w:r w:rsidR="00E3681B" w:rsidRPr="00E3681B">
        <w:t xml:space="preserve">. </w:t>
      </w:r>
      <w:r w:rsidR="00E3681B">
        <w:t xml:space="preserve">Project sponsors do not receive grant funds at time of approval. </w:t>
      </w:r>
      <w:r>
        <w:t>For example, if an applicant/sponsor</w:t>
      </w:r>
      <w:r w:rsidR="00E3681B">
        <w:t xml:space="preserve"> </w:t>
      </w:r>
      <w:r w:rsidR="00F31C19">
        <w:t xml:space="preserve">requests $50,000 in LWCF grant funds, they </w:t>
      </w:r>
      <w:r w:rsidR="00E3681B">
        <w:t xml:space="preserve">must </w:t>
      </w:r>
      <w:r>
        <w:t xml:space="preserve">ultimately “prove up” on $100,000 </w:t>
      </w:r>
      <w:r w:rsidR="00C7389B">
        <w:t xml:space="preserve">in </w:t>
      </w:r>
      <w:r w:rsidR="00F31C19">
        <w:t>eligible costs. The sponsor may request reimbursement as often as quarterly, though, by submitting documentation of incurred costs</w:t>
      </w:r>
      <w:r>
        <w:t xml:space="preserve"> and a narrative progress report</w:t>
      </w:r>
      <w:r w:rsidR="00F31C19">
        <w:t xml:space="preserve">.   </w:t>
      </w:r>
    </w:p>
    <w:p w14:paraId="0668EF0C" w14:textId="77777777" w:rsidR="00FF7858" w:rsidRDefault="00FF7858" w:rsidP="0008203B">
      <w:pPr>
        <w:ind w:left="720"/>
      </w:pPr>
    </w:p>
    <w:p w14:paraId="5F65C05B" w14:textId="77777777" w:rsidR="00A058BF" w:rsidRDefault="00A058BF" w:rsidP="00F611C9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>What can serve as match?</w:t>
      </w:r>
    </w:p>
    <w:p w14:paraId="5D915CD1" w14:textId="77777777" w:rsidR="00F31C19" w:rsidRPr="00F31C19" w:rsidRDefault="00F31C19" w:rsidP="00F31C19">
      <w:pPr>
        <w:pStyle w:val="ListParagraph"/>
      </w:pPr>
      <w:r w:rsidRPr="00F31C19">
        <w:t>Cash, in-kind labor, goods and services, as well as volunteer time and donations may count as match, as long as each is adequately documented.</w:t>
      </w:r>
      <w:r>
        <w:t xml:space="preserve"> </w:t>
      </w:r>
      <w:r w:rsidR="008E4B9A">
        <w:t xml:space="preserve">However, donated land or </w:t>
      </w:r>
      <w:r w:rsidR="00C7389B">
        <w:t xml:space="preserve">any </w:t>
      </w:r>
      <w:r w:rsidR="008E4B9A">
        <w:t>other federal funding sources are rarely eligible as match. Check with the Division of Parks for further info.</w:t>
      </w:r>
    </w:p>
    <w:p w14:paraId="2CA29E23" w14:textId="77777777" w:rsidR="00F31C19" w:rsidRPr="002E3185" w:rsidRDefault="00F31C19" w:rsidP="00F31C19">
      <w:pPr>
        <w:pStyle w:val="ListParagraph"/>
        <w:rPr>
          <w:b/>
        </w:rPr>
      </w:pPr>
    </w:p>
    <w:p w14:paraId="759960E1" w14:textId="3741F3E9" w:rsidR="00CC02E2" w:rsidRPr="00B065A8" w:rsidRDefault="00915533" w:rsidP="00437AD7">
      <w:pPr>
        <w:pStyle w:val="ListParagraph"/>
        <w:numPr>
          <w:ilvl w:val="0"/>
          <w:numId w:val="1"/>
        </w:numPr>
        <w:rPr>
          <w:b/>
        </w:rPr>
      </w:pPr>
      <w:r w:rsidRPr="00CC02E2">
        <w:rPr>
          <w:b/>
        </w:rPr>
        <w:t>Wh</w:t>
      </w:r>
      <w:r w:rsidR="008D0EE1">
        <w:rPr>
          <w:b/>
        </w:rPr>
        <w:t>at</w:t>
      </w:r>
      <w:r w:rsidR="00A058BF" w:rsidRPr="00CC02E2">
        <w:rPr>
          <w:b/>
        </w:rPr>
        <w:t xml:space="preserve"> long-term commitments are associated with LWCF?</w:t>
      </w:r>
      <w:r w:rsidR="008E4B9A" w:rsidRPr="00CC02E2">
        <w:rPr>
          <w:b/>
        </w:rPr>
        <w:br/>
      </w:r>
      <w:r w:rsidR="008E4B9A" w:rsidRPr="008E4B9A">
        <w:t>If awarded an LWCF grant,</w:t>
      </w:r>
      <w:r w:rsidR="008E4B9A" w:rsidRPr="00CC02E2">
        <w:rPr>
          <w:b/>
        </w:rPr>
        <w:t xml:space="preserve"> </w:t>
      </w:r>
      <w:r w:rsidR="008E4B9A">
        <w:t>the recipient</w:t>
      </w:r>
      <w:r w:rsidR="00CC02E2">
        <w:t>/project sponsor</w:t>
      </w:r>
      <w:r w:rsidR="008E4B9A">
        <w:t xml:space="preserve"> agrees to dedicate and maintain the park or facility </w:t>
      </w:r>
      <w:r w:rsidR="000936FE">
        <w:t xml:space="preserve">for </w:t>
      </w:r>
      <w:r w:rsidR="008E4B9A">
        <w:t xml:space="preserve">public outdoor recreation </w:t>
      </w:r>
      <w:r w:rsidR="008E4B9A" w:rsidRPr="0008203B">
        <w:t>in perpetuity,</w:t>
      </w:r>
      <w:r w:rsidR="008E4B9A">
        <w:t xml:space="preserve"> per the LWCF Act of 1965. Dedication </w:t>
      </w:r>
      <w:r w:rsidR="00CC02E2">
        <w:t>consist</w:t>
      </w:r>
      <w:r w:rsidR="00C7389B">
        <w:t>s</w:t>
      </w:r>
      <w:r w:rsidR="00CC02E2">
        <w:t xml:space="preserve"> of placing such language on the real property title or deed. </w:t>
      </w:r>
      <w:r w:rsidR="00C7389B">
        <w:t>The r</w:t>
      </w:r>
      <w:r w:rsidR="00CC02E2">
        <w:t>ecipient also agrees to conduct inspections at least once every 5 years and forward inspection report</w:t>
      </w:r>
      <w:r w:rsidR="00C7389B">
        <w:t>s</w:t>
      </w:r>
      <w:r w:rsidR="00CC02E2">
        <w:t xml:space="preserve"> to the State.</w:t>
      </w:r>
    </w:p>
    <w:p w14:paraId="18269279" w14:textId="77777777" w:rsidR="00B065A8" w:rsidRPr="00B065A8" w:rsidRDefault="00B065A8" w:rsidP="00B065A8">
      <w:pPr>
        <w:pStyle w:val="ListParagraph"/>
        <w:rPr>
          <w:b/>
        </w:rPr>
      </w:pPr>
    </w:p>
    <w:p w14:paraId="1ACDF3D1" w14:textId="07D406F9" w:rsidR="00B065A8" w:rsidRPr="00B065A8" w:rsidRDefault="00B065A8" w:rsidP="00B065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does </w:t>
      </w:r>
      <w:r w:rsidRPr="00832B74">
        <w:rPr>
          <w:b/>
          <w:i/>
        </w:rPr>
        <w:t>in perpetuity</w:t>
      </w:r>
      <w:r>
        <w:rPr>
          <w:b/>
        </w:rPr>
        <w:t xml:space="preserve"> mean?  </w:t>
      </w:r>
      <w:r>
        <w:rPr>
          <w:b/>
        </w:rPr>
        <w:br/>
      </w:r>
      <w:r w:rsidRPr="00B065A8">
        <w:t>It means forever</w:t>
      </w:r>
      <w:r w:rsidR="00DD73F5">
        <w:t>!</w:t>
      </w:r>
      <w:r w:rsidR="0008203B">
        <w:t xml:space="preserve"> Accepting an LWCF grant obligates the sponsor to </w:t>
      </w:r>
      <w:r w:rsidR="0008203B" w:rsidRPr="00DD73F5">
        <w:rPr>
          <w:u w:val="single"/>
        </w:rPr>
        <w:t>perpetual</w:t>
      </w:r>
      <w:r w:rsidR="0008203B">
        <w:t xml:space="preserve"> responsibilities. </w:t>
      </w:r>
    </w:p>
    <w:p w14:paraId="6A0F53D1" w14:textId="77777777" w:rsidR="00AF462C" w:rsidRPr="00AF462C" w:rsidRDefault="00AF462C" w:rsidP="00AF462C">
      <w:pPr>
        <w:rPr>
          <w:b/>
        </w:rPr>
      </w:pPr>
    </w:p>
    <w:p w14:paraId="690F7049" w14:textId="77777777" w:rsidR="00AF462C" w:rsidRDefault="00AF462C" w:rsidP="00AF462C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 xml:space="preserve">When are LWCF projects inspected?  </w:t>
      </w:r>
    </w:p>
    <w:p w14:paraId="105387EC" w14:textId="231B73E9" w:rsidR="00AF462C" w:rsidRPr="008E4B9A" w:rsidRDefault="00947486" w:rsidP="00AF462C">
      <w:pPr>
        <w:ind w:left="720"/>
      </w:pPr>
      <w:r>
        <w:t>At least once every 5 years</w:t>
      </w:r>
      <w:r w:rsidR="00AF462C" w:rsidRPr="008E4B9A">
        <w:t xml:space="preserve"> </w:t>
      </w:r>
      <w:r w:rsidR="00AF462C">
        <w:t>the site which received LWCF investment shall be inspected</w:t>
      </w:r>
      <w:r w:rsidR="00DD73F5">
        <w:t>. This may be done</w:t>
      </w:r>
      <w:r w:rsidR="00AF462C">
        <w:t xml:space="preserve"> by the grant recipient. Th</w:t>
      </w:r>
      <w:r w:rsidR="00DD73F5">
        <w:t>e</w:t>
      </w:r>
      <w:r w:rsidR="00AF462C">
        <w:t xml:space="preserve"> inspection may </w:t>
      </w:r>
      <w:r w:rsidR="00DD73F5">
        <w:t xml:space="preserve">also </w:t>
      </w:r>
      <w:r w:rsidR="00AF462C">
        <w:t xml:space="preserve">be conducted by or in conjunction with State of Alaska or National Park Service </w:t>
      </w:r>
      <w:r>
        <w:t xml:space="preserve">(NPS) </w:t>
      </w:r>
      <w:r w:rsidR="00AF462C">
        <w:t xml:space="preserve">staff. Inspection reports shall be forwarded to the State of Alaska LWCF grants administer for compliance monitoring. </w:t>
      </w:r>
    </w:p>
    <w:p w14:paraId="6F9235AF" w14:textId="77777777" w:rsidR="00CC02E2" w:rsidRPr="00CC02E2" w:rsidRDefault="00CC02E2" w:rsidP="00CC02E2">
      <w:pPr>
        <w:rPr>
          <w:b/>
        </w:rPr>
      </w:pPr>
    </w:p>
    <w:p w14:paraId="57226951" w14:textId="5106EEC5" w:rsidR="00CC02E2" w:rsidRPr="00CC02E2" w:rsidRDefault="000936FE" w:rsidP="00CC02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“conversion” and h</w:t>
      </w:r>
      <w:r w:rsidR="00CC02E2" w:rsidRPr="002E3185">
        <w:rPr>
          <w:b/>
        </w:rPr>
        <w:t xml:space="preserve">ow does </w:t>
      </w:r>
      <w:r>
        <w:rPr>
          <w:b/>
        </w:rPr>
        <w:t>th</w:t>
      </w:r>
      <w:r w:rsidR="00DD73F5">
        <w:rPr>
          <w:b/>
        </w:rPr>
        <w:t>at</w:t>
      </w:r>
      <w:r>
        <w:rPr>
          <w:b/>
        </w:rPr>
        <w:t xml:space="preserve"> affect a project? </w:t>
      </w:r>
    </w:p>
    <w:p w14:paraId="5E2F343F" w14:textId="498B98DA" w:rsidR="00CC02E2" w:rsidRPr="00CC02E2" w:rsidRDefault="00DD73F5" w:rsidP="00CC02E2">
      <w:pPr>
        <w:pStyle w:val="ListParagraph"/>
      </w:pPr>
      <w:r>
        <w:t>The LWCF Act</w:t>
      </w:r>
      <w:r w:rsidR="00CC02E2">
        <w:t xml:space="preserve"> </w:t>
      </w:r>
      <w:r>
        <w:t xml:space="preserve">(Federal law) </w:t>
      </w:r>
      <w:r w:rsidR="00CC02E2">
        <w:t xml:space="preserve">states: </w:t>
      </w:r>
      <w:r w:rsidR="00CC02E2" w:rsidRPr="00CC02E2">
        <w:rPr>
          <w:i/>
        </w:rPr>
        <w:t xml:space="preserve">No property acquired or developed with assistance under this section shall without approval of the Secretary </w:t>
      </w:r>
      <w:r w:rsidR="00CC02E2">
        <w:rPr>
          <w:i/>
        </w:rPr>
        <w:t>[</w:t>
      </w:r>
      <w:r w:rsidR="00CC02E2" w:rsidRPr="00CC02E2">
        <w:rPr>
          <w:i/>
        </w:rPr>
        <w:t>of the Interior</w:t>
      </w:r>
      <w:r w:rsidR="00CC02E2">
        <w:rPr>
          <w:i/>
        </w:rPr>
        <w:t>]</w:t>
      </w:r>
      <w:r w:rsidR="00CC02E2" w:rsidRPr="00CC02E2">
        <w:rPr>
          <w:i/>
        </w:rPr>
        <w:t xml:space="preserve"> be converted to other than public outdoor recreation uses. </w:t>
      </w:r>
      <w:r w:rsidR="00CC02E2">
        <w:t xml:space="preserve"> </w:t>
      </w:r>
      <w:r w:rsidR="00AF462C">
        <w:t>S</w:t>
      </w:r>
      <w:r w:rsidR="00CC02E2">
        <w:t xml:space="preserve">ometimes, </w:t>
      </w:r>
      <w:r w:rsidR="00AF462C">
        <w:t xml:space="preserve">though, </w:t>
      </w:r>
      <w:r w:rsidR="00CC02E2">
        <w:t>there is no feasible alternative to converting a portion of an LWCF-protected property. In that case, the project sponsor must coordinate with State of Alaska and NPS</w:t>
      </w:r>
      <w:r w:rsidR="007F0DD3">
        <w:t>-</w:t>
      </w:r>
      <w:r w:rsidR="00CC02E2">
        <w:t xml:space="preserve">LWCF staff to process a conversion of that property in whole or in part. </w:t>
      </w:r>
      <w:r w:rsidR="00AF462C">
        <w:t xml:space="preserve">Among myriad requirements in this process, the sponsor must locate, </w:t>
      </w:r>
      <w:r>
        <w:t xml:space="preserve">appraise, </w:t>
      </w:r>
      <w:r w:rsidR="000936FE">
        <w:t>buy,</w:t>
      </w:r>
      <w:r w:rsidR="00AF462C">
        <w:t xml:space="preserve"> and dedicate “replacement” property of equal or greater </w:t>
      </w:r>
      <w:r w:rsidR="000936FE">
        <w:t xml:space="preserve">recreational </w:t>
      </w:r>
      <w:r>
        <w:t>value</w:t>
      </w:r>
      <w:r w:rsidR="000936FE">
        <w:t xml:space="preserve"> </w:t>
      </w:r>
      <w:r w:rsidRPr="00DD73F5">
        <w:rPr>
          <w:u w:val="single"/>
        </w:rPr>
        <w:t>and</w:t>
      </w:r>
      <w:r w:rsidRPr="00DD73F5">
        <w:t xml:space="preserve"> </w:t>
      </w:r>
      <w:r>
        <w:t>monetary</w:t>
      </w:r>
      <w:r w:rsidR="00AF462C">
        <w:t xml:space="preserve"> value </w:t>
      </w:r>
      <w:r w:rsidR="000936FE">
        <w:t>at current-day cost.</w:t>
      </w:r>
      <w:r w:rsidR="00AF462C">
        <w:t xml:space="preserve"> </w:t>
      </w:r>
    </w:p>
    <w:p w14:paraId="53F43D56" w14:textId="77777777" w:rsidR="008E4B9A" w:rsidRPr="002E3185" w:rsidRDefault="008E4B9A" w:rsidP="008E4B9A">
      <w:pPr>
        <w:pStyle w:val="ListParagraph"/>
        <w:rPr>
          <w:b/>
        </w:rPr>
      </w:pPr>
    </w:p>
    <w:p w14:paraId="5BE1EE06" w14:textId="7C31DAED" w:rsidR="00A058BF" w:rsidRDefault="00A058BF" w:rsidP="00A058BF">
      <w:pPr>
        <w:pStyle w:val="ListParagraph"/>
        <w:numPr>
          <w:ilvl w:val="0"/>
          <w:numId w:val="1"/>
        </w:numPr>
        <w:rPr>
          <w:b/>
        </w:rPr>
      </w:pPr>
      <w:r w:rsidRPr="002E3185">
        <w:rPr>
          <w:b/>
        </w:rPr>
        <w:t>What is a</w:t>
      </w:r>
      <w:r w:rsidR="00DD73F5">
        <w:rPr>
          <w:b/>
        </w:rPr>
        <w:t xml:space="preserve">n LWCF </w:t>
      </w:r>
      <w:r w:rsidRPr="002E3185">
        <w:rPr>
          <w:b/>
        </w:rPr>
        <w:t>boundary map?</w:t>
      </w:r>
    </w:p>
    <w:p w14:paraId="05753799" w14:textId="7953EE8A" w:rsidR="00AF462C" w:rsidRPr="006E1585" w:rsidRDefault="00AF462C" w:rsidP="00AF462C">
      <w:pPr>
        <w:pStyle w:val="ListParagraph"/>
        <w:rPr>
          <w:color w:val="000000" w:themeColor="text1"/>
        </w:rPr>
      </w:pPr>
      <w:r w:rsidRPr="00912079">
        <w:t xml:space="preserve">This map, </w:t>
      </w:r>
      <w:r w:rsidR="00B065A8">
        <w:t>creat</w:t>
      </w:r>
      <w:r w:rsidRPr="00912079">
        <w:t xml:space="preserve">ed by the sponsor, shows the area being placed under protection of the LWCF Act </w:t>
      </w:r>
      <w:r w:rsidR="000936FE">
        <w:t>and dedicate</w:t>
      </w:r>
      <w:r w:rsidR="00DD73F5">
        <w:t>s it</w:t>
      </w:r>
      <w:r w:rsidR="000936FE">
        <w:t xml:space="preserve"> to public outdoor recreation in perpetuity</w:t>
      </w:r>
      <w:r w:rsidRPr="00912079">
        <w:t xml:space="preserve">. </w:t>
      </w:r>
      <w:r w:rsidR="00912079" w:rsidRPr="00912079">
        <w:t xml:space="preserve">The area within the </w:t>
      </w:r>
      <w:r w:rsidR="00DD73F5">
        <w:t>LWCF</w:t>
      </w:r>
      <w:r w:rsidR="00912079" w:rsidRPr="00912079">
        <w:t xml:space="preserve"> boundary normall</w:t>
      </w:r>
      <w:r w:rsidR="00461D81">
        <w:t xml:space="preserve">y </w:t>
      </w:r>
      <w:r w:rsidR="00AD748B">
        <w:t>covers</w:t>
      </w:r>
      <w:r w:rsidR="00461D81">
        <w:t xml:space="preserve"> an entire park</w:t>
      </w:r>
      <w:r w:rsidR="00912079" w:rsidRPr="00912079">
        <w:t xml:space="preserve"> </w:t>
      </w:r>
      <w:r w:rsidR="00461D81">
        <w:t>or</w:t>
      </w:r>
      <w:r w:rsidR="00912079" w:rsidRPr="00912079">
        <w:t xml:space="preserve"> viable </w:t>
      </w:r>
      <w:r w:rsidR="00461D81">
        <w:t xml:space="preserve">public outdoor </w:t>
      </w:r>
      <w:r w:rsidR="00912079" w:rsidRPr="00912079">
        <w:t xml:space="preserve">recreation unit. </w:t>
      </w:r>
      <w:r w:rsidR="00461D81">
        <w:t>The</w:t>
      </w:r>
      <w:r w:rsidR="00912079" w:rsidRPr="00912079">
        <w:t xml:space="preserve"> </w:t>
      </w:r>
      <w:r w:rsidR="00DD73F5">
        <w:t xml:space="preserve">LWCF </w:t>
      </w:r>
      <w:r w:rsidR="00912079" w:rsidRPr="00912079">
        <w:t>ma</w:t>
      </w:r>
      <w:r w:rsidR="00912079">
        <w:t xml:space="preserve">p should depict the following: </w:t>
      </w:r>
      <w:r w:rsidR="00912079" w:rsidRPr="00912079">
        <w:t>North arrow</w:t>
      </w:r>
      <w:r w:rsidR="00AD748B">
        <w:t>, legend</w:t>
      </w:r>
      <w:r w:rsidR="00912079" w:rsidRPr="00912079">
        <w:t>,</w:t>
      </w:r>
      <w:r w:rsidR="00461D81">
        <w:t xml:space="preserve"> sponsor </w:t>
      </w:r>
      <w:r w:rsidR="00912079" w:rsidRPr="00912079">
        <w:t>signature and date, defined boundary, acreage within the boundary,</w:t>
      </w:r>
      <w:r w:rsidR="00461D81">
        <w:t xml:space="preserve"> </w:t>
      </w:r>
      <w:r w:rsidR="00912079" w:rsidRPr="00912079">
        <w:t xml:space="preserve">GPS corner points, latitude and longitude, street names, mileposts, </w:t>
      </w:r>
      <w:r w:rsidR="007F0DD3">
        <w:t xml:space="preserve">and </w:t>
      </w:r>
      <w:r w:rsidR="00912079" w:rsidRPr="00912079">
        <w:t>entrances into the</w:t>
      </w:r>
      <w:r w:rsidR="007F0DD3">
        <w:t xml:space="preserve"> park. </w:t>
      </w:r>
      <w:r w:rsidR="00AD748B">
        <w:t>It must a</w:t>
      </w:r>
      <w:r w:rsidR="007F0DD3">
        <w:t xml:space="preserve">lso depict </w:t>
      </w:r>
      <w:r w:rsidR="00912079" w:rsidRPr="00912079">
        <w:t xml:space="preserve">any rights-of-way, easements, utility corridors, or non-public or non-recreational uses that should be excluded from </w:t>
      </w:r>
      <w:r w:rsidR="00DD73F5">
        <w:t>LWCF</w:t>
      </w:r>
      <w:r w:rsidR="00912079" w:rsidRPr="00912079">
        <w:t xml:space="preserve"> protection.</w:t>
      </w:r>
      <w:r w:rsidR="00B40051">
        <w:t xml:space="preserve"> </w:t>
      </w:r>
      <w:r w:rsidR="00912079">
        <w:t xml:space="preserve">The </w:t>
      </w:r>
      <w:r w:rsidR="00DD73F5">
        <w:t>LWCF boundary</w:t>
      </w:r>
      <w:r w:rsidR="00912079">
        <w:t xml:space="preserve"> map becomes p</w:t>
      </w:r>
      <w:r w:rsidR="00461D81">
        <w:t>art of a permanent grant file</w:t>
      </w:r>
      <w:r w:rsidR="00912079">
        <w:t xml:space="preserve"> within State of Alaska and NPS</w:t>
      </w:r>
      <w:r w:rsidR="00461D81">
        <w:t xml:space="preserve"> records</w:t>
      </w:r>
      <w:r w:rsidR="00912079">
        <w:t xml:space="preserve">.  </w:t>
      </w:r>
      <w:r w:rsidR="00A65C97" w:rsidRPr="006E1585">
        <w:rPr>
          <w:color w:val="000000" w:themeColor="text1"/>
        </w:rPr>
        <w:t>(</w:t>
      </w:r>
      <w:r w:rsidR="00B40051" w:rsidRPr="006E1585">
        <w:rPr>
          <w:color w:val="000000" w:themeColor="text1"/>
        </w:rPr>
        <w:t>See example</w:t>
      </w:r>
      <w:r w:rsidR="00A65C97" w:rsidRPr="006E1585">
        <w:rPr>
          <w:color w:val="000000" w:themeColor="text1"/>
        </w:rPr>
        <w:t xml:space="preserve"> map</w:t>
      </w:r>
      <w:r w:rsidR="00B40051" w:rsidRPr="006E1585">
        <w:rPr>
          <w:color w:val="000000" w:themeColor="text1"/>
        </w:rPr>
        <w:t>.</w:t>
      </w:r>
      <w:r w:rsidR="00A65C97" w:rsidRPr="006E1585">
        <w:rPr>
          <w:color w:val="000000" w:themeColor="text1"/>
        </w:rPr>
        <w:t>)</w:t>
      </w:r>
      <w:r w:rsidR="00B239DF" w:rsidRPr="006E1585">
        <w:rPr>
          <w:color w:val="000000" w:themeColor="text1"/>
        </w:rPr>
        <w:t xml:space="preserve"> </w:t>
      </w:r>
    </w:p>
    <w:p w14:paraId="7CE28CC5" w14:textId="77777777" w:rsidR="000B4AD4" w:rsidRDefault="000B4AD4" w:rsidP="00AF462C">
      <w:pPr>
        <w:pStyle w:val="ListParagraph"/>
      </w:pPr>
    </w:p>
    <w:p w14:paraId="1A3F5782" w14:textId="77777777" w:rsidR="000B4AD4" w:rsidRDefault="000B4AD4" w:rsidP="000B4AD4">
      <w:pPr>
        <w:pStyle w:val="ListParagraph"/>
        <w:numPr>
          <w:ilvl w:val="0"/>
          <w:numId w:val="1"/>
        </w:numPr>
        <w:rPr>
          <w:b/>
        </w:rPr>
      </w:pPr>
      <w:r w:rsidRPr="000B4AD4">
        <w:rPr>
          <w:b/>
        </w:rPr>
        <w:t>What is a Letter of Commitment?</w:t>
      </w:r>
    </w:p>
    <w:p w14:paraId="0B0CC61C" w14:textId="77777777" w:rsidR="000B4AD4" w:rsidRDefault="000B4AD4" w:rsidP="000B4AD4">
      <w:pPr>
        <w:pStyle w:val="ListParagraph"/>
      </w:pPr>
      <w:r>
        <w:t xml:space="preserve">A </w:t>
      </w:r>
      <w:r w:rsidR="007F0DD3">
        <w:t>Letter of C</w:t>
      </w:r>
      <w:r>
        <w:t>ommitment is a document from a willing seller of property</w:t>
      </w:r>
      <w:r w:rsidRPr="000B4AD4">
        <w:t xml:space="preserve"> </w:t>
      </w:r>
      <w:r>
        <w:t>or donor of materials</w:t>
      </w:r>
      <w:r w:rsidR="007F0DD3">
        <w:t>, goods</w:t>
      </w:r>
      <w:r>
        <w:t xml:space="preserve"> or services. The document demonstrates intent to perform a specific action on behalf of this project. </w:t>
      </w:r>
    </w:p>
    <w:p w14:paraId="0418D646" w14:textId="77777777" w:rsidR="000B4AD4" w:rsidRDefault="000B4AD4" w:rsidP="000B4AD4">
      <w:pPr>
        <w:pStyle w:val="ListParagraph"/>
      </w:pPr>
    </w:p>
    <w:p w14:paraId="7D4404F0" w14:textId="77777777" w:rsidR="00B065A8" w:rsidRPr="00C51F49" w:rsidRDefault="000B4AD4" w:rsidP="00C51F49">
      <w:pPr>
        <w:pStyle w:val="ListParagraph"/>
      </w:pPr>
      <w:r w:rsidRPr="00C51F49">
        <w:br/>
      </w:r>
    </w:p>
    <w:p w14:paraId="4A94F38F" w14:textId="77777777" w:rsidR="00D538F1" w:rsidRPr="00F611C9" w:rsidRDefault="00D538F1" w:rsidP="00D538F1"/>
    <w:sectPr w:rsidR="00D538F1" w:rsidRPr="00F611C9" w:rsidSect="006E1585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96A7" w14:textId="77777777" w:rsidR="00A14263" w:rsidRDefault="00A14263" w:rsidP="00A14263">
      <w:r>
        <w:separator/>
      </w:r>
    </w:p>
  </w:endnote>
  <w:endnote w:type="continuationSeparator" w:id="0">
    <w:p w14:paraId="6FFA9E7A" w14:textId="77777777" w:rsidR="00A14263" w:rsidRDefault="00A14263" w:rsidP="00A1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A4CC" w14:textId="77777777" w:rsidR="00A14263" w:rsidRDefault="00A14263" w:rsidP="00A14263">
      <w:r>
        <w:separator/>
      </w:r>
    </w:p>
  </w:footnote>
  <w:footnote w:type="continuationSeparator" w:id="0">
    <w:p w14:paraId="7B074E6C" w14:textId="77777777" w:rsidR="00A14263" w:rsidRDefault="00A14263" w:rsidP="00A1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4E3"/>
    <w:multiLevelType w:val="hybridMultilevel"/>
    <w:tmpl w:val="D604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A320D"/>
    <w:multiLevelType w:val="hybridMultilevel"/>
    <w:tmpl w:val="BB44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92614">
    <w:abstractNumId w:val="0"/>
  </w:num>
  <w:num w:numId="2" w16cid:durableId="1458403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9"/>
    <w:rsid w:val="00006D5F"/>
    <w:rsid w:val="00013041"/>
    <w:rsid w:val="000162CD"/>
    <w:rsid w:val="00016EE6"/>
    <w:rsid w:val="00023955"/>
    <w:rsid w:val="00026059"/>
    <w:rsid w:val="0003044C"/>
    <w:rsid w:val="00031AD9"/>
    <w:rsid w:val="0003613C"/>
    <w:rsid w:val="0003620D"/>
    <w:rsid w:val="000446EE"/>
    <w:rsid w:val="00046F7F"/>
    <w:rsid w:val="00060C45"/>
    <w:rsid w:val="000626A2"/>
    <w:rsid w:val="00064215"/>
    <w:rsid w:val="000671C5"/>
    <w:rsid w:val="00075432"/>
    <w:rsid w:val="00076B40"/>
    <w:rsid w:val="0008203B"/>
    <w:rsid w:val="00085342"/>
    <w:rsid w:val="00085CAC"/>
    <w:rsid w:val="000936FE"/>
    <w:rsid w:val="00096CF3"/>
    <w:rsid w:val="000A2A16"/>
    <w:rsid w:val="000A3A7E"/>
    <w:rsid w:val="000A701E"/>
    <w:rsid w:val="000B38EA"/>
    <w:rsid w:val="000B429E"/>
    <w:rsid w:val="000B4AD4"/>
    <w:rsid w:val="000C199B"/>
    <w:rsid w:val="000D0D56"/>
    <w:rsid w:val="000D1A03"/>
    <w:rsid w:val="000D1CE9"/>
    <w:rsid w:val="000E25E7"/>
    <w:rsid w:val="000E2E43"/>
    <w:rsid w:val="000E4010"/>
    <w:rsid w:val="000E5944"/>
    <w:rsid w:val="000F24C4"/>
    <w:rsid w:val="00105FCF"/>
    <w:rsid w:val="001067E7"/>
    <w:rsid w:val="00110708"/>
    <w:rsid w:val="00114702"/>
    <w:rsid w:val="00117FF8"/>
    <w:rsid w:val="001248D0"/>
    <w:rsid w:val="00125D2E"/>
    <w:rsid w:val="00127C44"/>
    <w:rsid w:val="00127D25"/>
    <w:rsid w:val="0013296C"/>
    <w:rsid w:val="00143383"/>
    <w:rsid w:val="001443F5"/>
    <w:rsid w:val="00150E52"/>
    <w:rsid w:val="001528B2"/>
    <w:rsid w:val="00154EF1"/>
    <w:rsid w:val="00160BA3"/>
    <w:rsid w:val="00163237"/>
    <w:rsid w:val="001649EA"/>
    <w:rsid w:val="00164E4C"/>
    <w:rsid w:val="0016542D"/>
    <w:rsid w:val="00184185"/>
    <w:rsid w:val="00190977"/>
    <w:rsid w:val="001930B2"/>
    <w:rsid w:val="001A149C"/>
    <w:rsid w:val="001A50A7"/>
    <w:rsid w:val="001B5FDC"/>
    <w:rsid w:val="001B6337"/>
    <w:rsid w:val="001D708E"/>
    <w:rsid w:val="001E04B1"/>
    <w:rsid w:val="001E6877"/>
    <w:rsid w:val="001F4E39"/>
    <w:rsid w:val="0020123A"/>
    <w:rsid w:val="00214DBC"/>
    <w:rsid w:val="002160E9"/>
    <w:rsid w:val="0022180C"/>
    <w:rsid w:val="00222190"/>
    <w:rsid w:val="00223A2E"/>
    <w:rsid w:val="00227F89"/>
    <w:rsid w:val="00231D2F"/>
    <w:rsid w:val="00240650"/>
    <w:rsid w:val="00244F59"/>
    <w:rsid w:val="00246DBE"/>
    <w:rsid w:val="00254264"/>
    <w:rsid w:val="002542F6"/>
    <w:rsid w:val="00263D7D"/>
    <w:rsid w:val="00271D55"/>
    <w:rsid w:val="00276D98"/>
    <w:rsid w:val="00277058"/>
    <w:rsid w:val="00280559"/>
    <w:rsid w:val="002929A6"/>
    <w:rsid w:val="00295C64"/>
    <w:rsid w:val="002A19CC"/>
    <w:rsid w:val="002A481F"/>
    <w:rsid w:val="002A776B"/>
    <w:rsid w:val="002B219B"/>
    <w:rsid w:val="002B5686"/>
    <w:rsid w:val="002B7257"/>
    <w:rsid w:val="002C4C38"/>
    <w:rsid w:val="002D2A2E"/>
    <w:rsid w:val="002D3E25"/>
    <w:rsid w:val="002D54AC"/>
    <w:rsid w:val="002E3185"/>
    <w:rsid w:val="002E3AC2"/>
    <w:rsid w:val="002E632F"/>
    <w:rsid w:val="002F336E"/>
    <w:rsid w:val="002F74E0"/>
    <w:rsid w:val="0031105D"/>
    <w:rsid w:val="00311F13"/>
    <w:rsid w:val="00314DA2"/>
    <w:rsid w:val="00317F4E"/>
    <w:rsid w:val="00320254"/>
    <w:rsid w:val="0032126E"/>
    <w:rsid w:val="003256E7"/>
    <w:rsid w:val="0033317B"/>
    <w:rsid w:val="00334DB6"/>
    <w:rsid w:val="00336ACB"/>
    <w:rsid w:val="00345859"/>
    <w:rsid w:val="00346810"/>
    <w:rsid w:val="00347841"/>
    <w:rsid w:val="00353A52"/>
    <w:rsid w:val="0035616D"/>
    <w:rsid w:val="00356BC7"/>
    <w:rsid w:val="00361B06"/>
    <w:rsid w:val="00363715"/>
    <w:rsid w:val="00364FA5"/>
    <w:rsid w:val="003766A9"/>
    <w:rsid w:val="003767B4"/>
    <w:rsid w:val="003802AA"/>
    <w:rsid w:val="00385B61"/>
    <w:rsid w:val="0039295E"/>
    <w:rsid w:val="00392D6E"/>
    <w:rsid w:val="003A0B47"/>
    <w:rsid w:val="003B3B97"/>
    <w:rsid w:val="003C14D7"/>
    <w:rsid w:val="003C4D75"/>
    <w:rsid w:val="003D7F69"/>
    <w:rsid w:val="003E29CC"/>
    <w:rsid w:val="003E773F"/>
    <w:rsid w:val="003F1E5E"/>
    <w:rsid w:val="003F53E6"/>
    <w:rsid w:val="004001FC"/>
    <w:rsid w:val="00401D5F"/>
    <w:rsid w:val="0040311C"/>
    <w:rsid w:val="004110F2"/>
    <w:rsid w:val="00413020"/>
    <w:rsid w:val="00413CCB"/>
    <w:rsid w:val="004213F7"/>
    <w:rsid w:val="00421E10"/>
    <w:rsid w:val="00423061"/>
    <w:rsid w:val="00430776"/>
    <w:rsid w:val="00432287"/>
    <w:rsid w:val="0043499E"/>
    <w:rsid w:val="0043550F"/>
    <w:rsid w:val="00436E8B"/>
    <w:rsid w:val="00437A29"/>
    <w:rsid w:val="004445E8"/>
    <w:rsid w:val="00445B30"/>
    <w:rsid w:val="00447266"/>
    <w:rsid w:val="00452E25"/>
    <w:rsid w:val="00461D81"/>
    <w:rsid w:val="00471C64"/>
    <w:rsid w:val="004746F0"/>
    <w:rsid w:val="0047556E"/>
    <w:rsid w:val="00485D12"/>
    <w:rsid w:val="00490A58"/>
    <w:rsid w:val="00495D1E"/>
    <w:rsid w:val="0049619B"/>
    <w:rsid w:val="00496314"/>
    <w:rsid w:val="004978EB"/>
    <w:rsid w:val="004A1C87"/>
    <w:rsid w:val="004A2F16"/>
    <w:rsid w:val="004B037A"/>
    <w:rsid w:val="004B04BB"/>
    <w:rsid w:val="004B4A3B"/>
    <w:rsid w:val="004B4ABC"/>
    <w:rsid w:val="004B6478"/>
    <w:rsid w:val="004B7D0E"/>
    <w:rsid w:val="004C2992"/>
    <w:rsid w:val="004C53C1"/>
    <w:rsid w:val="004D3194"/>
    <w:rsid w:val="004D4C08"/>
    <w:rsid w:val="004D5D80"/>
    <w:rsid w:val="004D61D7"/>
    <w:rsid w:val="004E0E37"/>
    <w:rsid w:val="004E427C"/>
    <w:rsid w:val="004E7577"/>
    <w:rsid w:val="0050335C"/>
    <w:rsid w:val="00504597"/>
    <w:rsid w:val="00504AF0"/>
    <w:rsid w:val="005151D8"/>
    <w:rsid w:val="005228D7"/>
    <w:rsid w:val="00523184"/>
    <w:rsid w:val="005313E6"/>
    <w:rsid w:val="005344F0"/>
    <w:rsid w:val="00535EB8"/>
    <w:rsid w:val="00542D3C"/>
    <w:rsid w:val="00551AAD"/>
    <w:rsid w:val="005565A8"/>
    <w:rsid w:val="00565B41"/>
    <w:rsid w:val="00575390"/>
    <w:rsid w:val="0057557A"/>
    <w:rsid w:val="00582176"/>
    <w:rsid w:val="00582F3D"/>
    <w:rsid w:val="005877F8"/>
    <w:rsid w:val="005A10B1"/>
    <w:rsid w:val="005A44FF"/>
    <w:rsid w:val="005A4A61"/>
    <w:rsid w:val="005A5865"/>
    <w:rsid w:val="005A7DA6"/>
    <w:rsid w:val="005A7FF3"/>
    <w:rsid w:val="005B20E7"/>
    <w:rsid w:val="005B7CDB"/>
    <w:rsid w:val="005D5883"/>
    <w:rsid w:val="005E1E2D"/>
    <w:rsid w:val="005E56B5"/>
    <w:rsid w:val="005F2E66"/>
    <w:rsid w:val="005F4F45"/>
    <w:rsid w:val="005F55AA"/>
    <w:rsid w:val="00617C8C"/>
    <w:rsid w:val="00624245"/>
    <w:rsid w:val="006276AF"/>
    <w:rsid w:val="006325E6"/>
    <w:rsid w:val="00636EAB"/>
    <w:rsid w:val="00640893"/>
    <w:rsid w:val="006469CF"/>
    <w:rsid w:val="006519A0"/>
    <w:rsid w:val="00653BFA"/>
    <w:rsid w:val="00653EB8"/>
    <w:rsid w:val="00666190"/>
    <w:rsid w:val="006666CC"/>
    <w:rsid w:val="00683163"/>
    <w:rsid w:val="00685ADB"/>
    <w:rsid w:val="00686E02"/>
    <w:rsid w:val="00687CEB"/>
    <w:rsid w:val="006908F2"/>
    <w:rsid w:val="006A5C16"/>
    <w:rsid w:val="006B3C88"/>
    <w:rsid w:val="006B588C"/>
    <w:rsid w:val="006C0815"/>
    <w:rsid w:val="006C22C5"/>
    <w:rsid w:val="006D0583"/>
    <w:rsid w:val="006D2019"/>
    <w:rsid w:val="006D39B1"/>
    <w:rsid w:val="006E1585"/>
    <w:rsid w:val="006E26C2"/>
    <w:rsid w:val="006E4149"/>
    <w:rsid w:val="006E4A9F"/>
    <w:rsid w:val="006E7ACD"/>
    <w:rsid w:val="006F15C9"/>
    <w:rsid w:val="006F1F72"/>
    <w:rsid w:val="006F526A"/>
    <w:rsid w:val="006F7C8F"/>
    <w:rsid w:val="007013D1"/>
    <w:rsid w:val="007077D0"/>
    <w:rsid w:val="00713213"/>
    <w:rsid w:val="00714766"/>
    <w:rsid w:val="00714811"/>
    <w:rsid w:val="00717BA5"/>
    <w:rsid w:val="00726788"/>
    <w:rsid w:val="00726FD8"/>
    <w:rsid w:val="00727148"/>
    <w:rsid w:val="00742F32"/>
    <w:rsid w:val="00756112"/>
    <w:rsid w:val="00757F04"/>
    <w:rsid w:val="00775D5E"/>
    <w:rsid w:val="00776AC7"/>
    <w:rsid w:val="00782D4A"/>
    <w:rsid w:val="007837BA"/>
    <w:rsid w:val="00786505"/>
    <w:rsid w:val="007922B2"/>
    <w:rsid w:val="00794E6D"/>
    <w:rsid w:val="007A3A34"/>
    <w:rsid w:val="007B0078"/>
    <w:rsid w:val="007B2C0A"/>
    <w:rsid w:val="007B5DA0"/>
    <w:rsid w:val="007B7BFC"/>
    <w:rsid w:val="007C0E08"/>
    <w:rsid w:val="007C5D36"/>
    <w:rsid w:val="007C5D4D"/>
    <w:rsid w:val="007D1130"/>
    <w:rsid w:val="007D6BE8"/>
    <w:rsid w:val="007F0409"/>
    <w:rsid w:val="007F0DD3"/>
    <w:rsid w:val="007F29D9"/>
    <w:rsid w:val="00806E95"/>
    <w:rsid w:val="00813AD8"/>
    <w:rsid w:val="0081480A"/>
    <w:rsid w:val="00815D13"/>
    <w:rsid w:val="00822D82"/>
    <w:rsid w:val="0082388C"/>
    <w:rsid w:val="008252AA"/>
    <w:rsid w:val="00827707"/>
    <w:rsid w:val="00832B74"/>
    <w:rsid w:val="00835811"/>
    <w:rsid w:val="00837E04"/>
    <w:rsid w:val="0084032D"/>
    <w:rsid w:val="008438AA"/>
    <w:rsid w:val="0084486D"/>
    <w:rsid w:val="00844BA3"/>
    <w:rsid w:val="008475A2"/>
    <w:rsid w:val="008477E1"/>
    <w:rsid w:val="008669DC"/>
    <w:rsid w:val="00872EB7"/>
    <w:rsid w:val="0087380B"/>
    <w:rsid w:val="0087541E"/>
    <w:rsid w:val="008871DB"/>
    <w:rsid w:val="00887555"/>
    <w:rsid w:val="008908D8"/>
    <w:rsid w:val="00891C24"/>
    <w:rsid w:val="00894182"/>
    <w:rsid w:val="0089682A"/>
    <w:rsid w:val="00896831"/>
    <w:rsid w:val="008A284B"/>
    <w:rsid w:val="008A34A1"/>
    <w:rsid w:val="008B067D"/>
    <w:rsid w:val="008B2897"/>
    <w:rsid w:val="008B4F5B"/>
    <w:rsid w:val="008D0EE1"/>
    <w:rsid w:val="008D285C"/>
    <w:rsid w:val="008D7B80"/>
    <w:rsid w:val="008E4B9A"/>
    <w:rsid w:val="008E5E72"/>
    <w:rsid w:val="008E68FC"/>
    <w:rsid w:val="008F2220"/>
    <w:rsid w:val="008F2E2F"/>
    <w:rsid w:val="008F3FE3"/>
    <w:rsid w:val="008F4AE2"/>
    <w:rsid w:val="008F7D8E"/>
    <w:rsid w:val="0090272E"/>
    <w:rsid w:val="00903A39"/>
    <w:rsid w:val="00905C55"/>
    <w:rsid w:val="009112AE"/>
    <w:rsid w:val="00912079"/>
    <w:rsid w:val="009137B8"/>
    <w:rsid w:val="00915533"/>
    <w:rsid w:val="009310EE"/>
    <w:rsid w:val="009327B4"/>
    <w:rsid w:val="009427FC"/>
    <w:rsid w:val="00947486"/>
    <w:rsid w:val="0095094F"/>
    <w:rsid w:val="00951EBF"/>
    <w:rsid w:val="00956383"/>
    <w:rsid w:val="00962905"/>
    <w:rsid w:val="00963E2A"/>
    <w:rsid w:val="00965487"/>
    <w:rsid w:val="0097007A"/>
    <w:rsid w:val="00974172"/>
    <w:rsid w:val="009806DB"/>
    <w:rsid w:val="00994335"/>
    <w:rsid w:val="0099684B"/>
    <w:rsid w:val="009A2B1C"/>
    <w:rsid w:val="009A609D"/>
    <w:rsid w:val="009A7C02"/>
    <w:rsid w:val="009B0057"/>
    <w:rsid w:val="009B0411"/>
    <w:rsid w:val="009B068B"/>
    <w:rsid w:val="009B2A91"/>
    <w:rsid w:val="009B2B6D"/>
    <w:rsid w:val="009B5A2C"/>
    <w:rsid w:val="009B645A"/>
    <w:rsid w:val="009B677A"/>
    <w:rsid w:val="009C0E9E"/>
    <w:rsid w:val="009C341A"/>
    <w:rsid w:val="009C7CBB"/>
    <w:rsid w:val="009D1047"/>
    <w:rsid w:val="009D5154"/>
    <w:rsid w:val="009F0AF8"/>
    <w:rsid w:val="009F4401"/>
    <w:rsid w:val="009F76AA"/>
    <w:rsid w:val="00A00A0C"/>
    <w:rsid w:val="00A048CD"/>
    <w:rsid w:val="00A058BF"/>
    <w:rsid w:val="00A11103"/>
    <w:rsid w:val="00A11253"/>
    <w:rsid w:val="00A14263"/>
    <w:rsid w:val="00A1458A"/>
    <w:rsid w:val="00A15C94"/>
    <w:rsid w:val="00A24ECB"/>
    <w:rsid w:val="00A30154"/>
    <w:rsid w:val="00A33FA0"/>
    <w:rsid w:val="00A36EA1"/>
    <w:rsid w:val="00A36EF6"/>
    <w:rsid w:val="00A40D43"/>
    <w:rsid w:val="00A43B78"/>
    <w:rsid w:val="00A45A10"/>
    <w:rsid w:val="00A468B8"/>
    <w:rsid w:val="00A523F4"/>
    <w:rsid w:val="00A6183C"/>
    <w:rsid w:val="00A643D0"/>
    <w:rsid w:val="00A64457"/>
    <w:rsid w:val="00A65C97"/>
    <w:rsid w:val="00A80F73"/>
    <w:rsid w:val="00A94C1F"/>
    <w:rsid w:val="00A97866"/>
    <w:rsid w:val="00AA0677"/>
    <w:rsid w:val="00AA1136"/>
    <w:rsid w:val="00AA76FA"/>
    <w:rsid w:val="00AB0481"/>
    <w:rsid w:val="00AB44C1"/>
    <w:rsid w:val="00AC03D5"/>
    <w:rsid w:val="00AC11E8"/>
    <w:rsid w:val="00AC5134"/>
    <w:rsid w:val="00AC566B"/>
    <w:rsid w:val="00AD4521"/>
    <w:rsid w:val="00AD65E3"/>
    <w:rsid w:val="00AD748B"/>
    <w:rsid w:val="00AE1D39"/>
    <w:rsid w:val="00AE22E8"/>
    <w:rsid w:val="00AF07A5"/>
    <w:rsid w:val="00AF462C"/>
    <w:rsid w:val="00AF7110"/>
    <w:rsid w:val="00B03F33"/>
    <w:rsid w:val="00B053A8"/>
    <w:rsid w:val="00B065A8"/>
    <w:rsid w:val="00B14896"/>
    <w:rsid w:val="00B21024"/>
    <w:rsid w:val="00B21423"/>
    <w:rsid w:val="00B22457"/>
    <w:rsid w:val="00B22497"/>
    <w:rsid w:val="00B239DF"/>
    <w:rsid w:val="00B2532C"/>
    <w:rsid w:val="00B35835"/>
    <w:rsid w:val="00B40051"/>
    <w:rsid w:val="00B42943"/>
    <w:rsid w:val="00B475F0"/>
    <w:rsid w:val="00B5108A"/>
    <w:rsid w:val="00B535B9"/>
    <w:rsid w:val="00B53B11"/>
    <w:rsid w:val="00B560A8"/>
    <w:rsid w:val="00B56296"/>
    <w:rsid w:val="00B616C3"/>
    <w:rsid w:val="00B63699"/>
    <w:rsid w:val="00B64968"/>
    <w:rsid w:val="00B70886"/>
    <w:rsid w:val="00B81650"/>
    <w:rsid w:val="00B85662"/>
    <w:rsid w:val="00B93610"/>
    <w:rsid w:val="00BA189B"/>
    <w:rsid w:val="00BA1F19"/>
    <w:rsid w:val="00BA7D1E"/>
    <w:rsid w:val="00BB2EC0"/>
    <w:rsid w:val="00BB485F"/>
    <w:rsid w:val="00BB5686"/>
    <w:rsid w:val="00BC2971"/>
    <w:rsid w:val="00BC3AFA"/>
    <w:rsid w:val="00BE426C"/>
    <w:rsid w:val="00BE4890"/>
    <w:rsid w:val="00BE54B2"/>
    <w:rsid w:val="00C03A9B"/>
    <w:rsid w:val="00C07647"/>
    <w:rsid w:val="00C07AC4"/>
    <w:rsid w:val="00C16C29"/>
    <w:rsid w:val="00C3209A"/>
    <w:rsid w:val="00C34085"/>
    <w:rsid w:val="00C41C60"/>
    <w:rsid w:val="00C45D6D"/>
    <w:rsid w:val="00C46072"/>
    <w:rsid w:val="00C51058"/>
    <w:rsid w:val="00C51F49"/>
    <w:rsid w:val="00C616B5"/>
    <w:rsid w:val="00C631E4"/>
    <w:rsid w:val="00C65E13"/>
    <w:rsid w:val="00C72EEB"/>
    <w:rsid w:val="00C7389B"/>
    <w:rsid w:val="00C7483A"/>
    <w:rsid w:val="00C775AF"/>
    <w:rsid w:val="00C819AA"/>
    <w:rsid w:val="00C97B7A"/>
    <w:rsid w:val="00CA1E2B"/>
    <w:rsid w:val="00CA2FFD"/>
    <w:rsid w:val="00CB03FB"/>
    <w:rsid w:val="00CC02E2"/>
    <w:rsid w:val="00CC2BB7"/>
    <w:rsid w:val="00CC4666"/>
    <w:rsid w:val="00CD4BB9"/>
    <w:rsid w:val="00CE4158"/>
    <w:rsid w:val="00CF0339"/>
    <w:rsid w:val="00CF0AA5"/>
    <w:rsid w:val="00CF51E0"/>
    <w:rsid w:val="00D02DDF"/>
    <w:rsid w:val="00D05150"/>
    <w:rsid w:val="00D05F9F"/>
    <w:rsid w:val="00D06A86"/>
    <w:rsid w:val="00D14120"/>
    <w:rsid w:val="00D153AD"/>
    <w:rsid w:val="00D20380"/>
    <w:rsid w:val="00D23C1C"/>
    <w:rsid w:val="00D25F0D"/>
    <w:rsid w:val="00D43DFF"/>
    <w:rsid w:val="00D45DCF"/>
    <w:rsid w:val="00D47542"/>
    <w:rsid w:val="00D50459"/>
    <w:rsid w:val="00D509EE"/>
    <w:rsid w:val="00D527C0"/>
    <w:rsid w:val="00D538F1"/>
    <w:rsid w:val="00D578C4"/>
    <w:rsid w:val="00D62449"/>
    <w:rsid w:val="00D64DA4"/>
    <w:rsid w:val="00D65FFA"/>
    <w:rsid w:val="00D664AE"/>
    <w:rsid w:val="00D701A3"/>
    <w:rsid w:val="00D730C5"/>
    <w:rsid w:val="00D8487B"/>
    <w:rsid w:val="00D94D2E"/>
    <w:rsid w:val="00DA0A25"/>
    <w:rsid w:val="00DA63B0"/>
    <w:rsid w:val="00DA6775"/>
    <w:rsid w:val="00DB28EB"/>
    <w:rsid w:val="00DB429A"/>
    <w:rsid w:val="00DB7FD1"/>
    <w:rsid w:val="00DC395F"/>
    <w:rsid w:val="00DC659A"/>
    <w:rsid w:val="00DD0A55"/>
    <w:rsid w:val="00DD69DB"/>
    <w:rsid w:val="00DD73F5"/>
    <w:rsid w:val="00DF19A8"/>
    <w:rsid w:val="00E0114F"/>
    <w:rsid w:val="00E01C5A"/>
    <w:rsid w:val="00E02D6D"/>
    <w:rsid w:val="00E02E8A"/>
    <w:rsid w:val="00E126DB"/>
    <w:rsid w:val="00E17B3B"/>
    <w:rsid w:val="00E2563E"/>
    <w:rsid w:val="00E25C11"/>
    <w:rsid w:val="00E31469"/>
    <w:rsid w:val="00E32A6D"/>
    <w:rsid w:val="00E34408"/>
    <w:rsid w:val="00E3681B"/>
    <w:rsid w:val="00E43820"/>
    <w:rsid w:val="00E4658E"/>
    <w:rsid w:val="00E53C86"/>
    <w:rsid w:val="00E55310"/>
    <w:rsid w:val="00E627DF"/>
    <w:rsid w:val="00E655D1"/>
    <w:rsid w:val="00E763E0"/>
    <w:rsid w:val="00E769D0"/>
    <w:rsid w:val="00E81EBC"/>
    <w:rsid w:val="00E87FF2"/>
    <w:rsid w:val="00E9048E"/>
    <w:rsid w:val="00E97693"/>
    <w:rsid w:val="00EA317F"/>
    <w:rsid w:val="00EA424A"/>
    <w:rsid w:val="00EA5068"/>
    <w:rsid w:val="00EA7514"/>
    <w:rsid w:val="00EB749D"/>
    <w:rsid w:val="00EC52E6"/>
    <w:rsid w:val="00ED0689"/>
    <w:rsid w:val="00ED1D20"/>
    <w:rsid w:val="00ED68A7"/>
    <w:rsid w:val="00EE4A13"/>
    <w:rsid w:val="00EE7645"/>
    <w:rsid w:val="00EF0628"/>
    <w:rsid w:val="00EF3175"/>
    <w:rsid w:val="00EF3535"/>
    <w:rsid w:val="00EF460B"/>
    <w:rsid w:val="00F0012C"/>
    <w:rsid w:val="00F005DA"/>
    <w:rsid w:val="00F05A43"/>
    <w:rsid w:val="00F101A9"/>
    <w:rsid w:val="00F13EF2"/>
    <w:rsid w:val="00F14902"/>
    <w:rsid w:val="00F16A36"/>
    <w:rsid w:val="00F20490"/>
    <w:rsid w:val="00F2334B"/>
    <w:rsid w:val="00F26B46"/>
    <w:rsid w:val="00F31C19"/>
    <w:rsid w:val="00F34293"/>
    <w:rsid w:val="00F37E8A"/>
    <w:rsid w:val="00F411A2"/>
    <w:rsid w:val="00F436C8"/>
    <w:rsid w:val="00F46C09"/>
    <w:rsid w:val="00F5283F"/>
    <w:rsid w:val="00F55872"/>
    <w:rsid w:val="00F611C9"/>
    <w:rsid w:val="00F70143"/>
    <w:rsid w:val="00F715FC"/>
    <w:rsid w:val="00F7711A"/>
    <w:rsid w:val="00F80651"/>
    <w:rsid w:val="00F93706"/>
    <w:rsid w:val="00FA7582"/>
    <w:rsid w:val="00FB01DD"/>
    <w:rsid w:val="00FC313F"/>
    <w:rsid w:val="00FC585D"/>
    <w:rsid w:val="00FC63BF"/>
    <w:rsid w:val="00FD1712"/>
    <w:rsid w:val="00FF0DC2"/>
    <w:rsid w:val="00FF314B"/>
    <w:rsid w:val="00FF332D"/>
    <w:rsid w:val="00FF4D8B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6F9AA0"/>
  <w15:chartTrackingRefBased/>
  <w15:docId w15:val="{83FAC55F-7D25-4E54-8376-B45E51C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1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0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1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.dnr.alaska.gov/shared/images/logos/dnrlogo_medium_tran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Jean M (DNR)</dc:creator>
  <cp:keywords/>
  <dc:description/>
  <cp:lastModifiedBy>Ayers, Jean Ayers (DNR sponsored)</cp:lastModifiedBy>
  <cp:revision>3</cp:revision>
  <cp:lastPrinted>2017-04-13T17:20:00Z</cp:lastPrinted>
  <dcterms:created xsi:type="dcterms:W3CDTF">2023-07-24T20:28:00Z</dcterms:created>
  <dcterms:modified xsi:type="dcterms:W3CDTF">2023-07-24T21:24:00Z</dcterms:modified>
</cp:coreProperties>
</file>